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23F" w:rsidRPr="00807B61" w:rsidRDefault="00D9743A" w:rsidP="00807B61">
      <w:pPr>
        <w:pStyle w:val="Heading1"/>
        <w:rPr>
          <w:rFonts w:ascii="Segoe UI" w:hAnsi="Segoe UI" w:cs="Segoe UI"/>
          <w:sz w:val="24"/>
          <w:szCs w:val="24"/>
        </w:rPr>
      </w:pPr>
      <w:r w:rsidRPr="00807B61">
        <w:rPr>
          <w:rFonts w:ascii="Segoe UI" w:hAnsi="Segoe UI" w:cs="Segoe UI"/>
          <w:sz w:val="24"/>
          <w:szCs w:val="24"/>
        </w:rPr>
        <w:t>Fundamentals of Cell Biology</w:t>
      </w:r>
      <w:r w:rsidR="00807B61">
        <w:rPr>
          <w:rFonts w:ascii="Segoe UI" w:hAnsi="Segoe UI" w:cs="Segoe UI"/>
          <w:sz w:val="24"/>
          <w:szCs w:val="24"/>
        </w:rPr>
        <w:t xml:space="preserve"> </w:t>
      </w:r>
      <w:r w:rsidR="00807B61">
        <w:rPr>
          <w:rFonts w:ascii="Segoe UI" w:hAnsi="Segoe UI" w:cs="Segoe UI"/>
          <w:sz w:val="24"/>
          <w:szCs w:val="24"/>
        </w:rPr>
        <w:ptab w:relativeTo="margin" w:alignment="right" w:leader="none"/>
      </w:r>
      <w:r w:rsidRPr="00807B61">
        <w:rPr>
          <w:rFonts w:ascii="Segoe UI" w:hAnsi="Segoe UI" w:cs="Segoe UI"/>
          <w:sz w:val="24"/>
          <w:szCs w:val="24"/>
        </w:rPr>
        <w:t>Ch 11 Worksheet: Principles of Cell Signaling</w:t>
      </w:r>
    </w:p>
    <w:p w:rsidR="006D523F" w:rsidRPr="00807B61" w:rsidRDefault="00D9743A" w:rsidP="00807B61">
      <w:pPr>
        <w:pStyle w:val="Heading2"/>
        <w:rPr>
          <w:rFonts w:ascii="Segoe UI" w:hAnsi="Segoe UI" w:cs="Segoe UI"/>
          <w:sz w:val="24"/>
          <w:szCs w:val="24"/>
        </w:rPr>
      </w:pPr>
      <w:r w:rsidRPr="00807B61">
        <w:rPr>
          <w:rFonts w:ascii="Segoe UI" w:hAnsi="Segoe UI" w:cs="Segoe UI"/>
          <w:sz w:val="24"/>
          <w:szCs w:val="24"/>
        </w:rPr>
        <w:t xml:space="preserve">Learning Outcome(s): </w:t>
      </w:r>
    </w:p>
    <w:p w:rsidR="006D523F" w:rsidRPr="00807B61" w:rsidRDefault="00D9743A" w:rsidP="00807B61">
      <w:pPr>
        <w:pStyle w:val="ListParagraph"/>
        <w:numPr>
          <w:ilvl w:val="0"/>
          <w:numId w:val="3"/>
        </w:numPr>
        <w:spacing w:before="240" w:line="276" w:lineRule="auto"/>
        <w:ind w:left="360" w:hanging="360"/>
        <w:rPr>
          <w:rFonts w:ascii="Segoe UI" w:eastAsia="Calibri" w:hAnsi="Segoe UI" w:cs="Segoe UI"/>
        </w:rPr>
      </w:pPr>
      <w:r w:rsidRPr="00807B61">
        <w:rPr>
          <w:rFonts w:ascii="Segoe UI" w:eastAsia="Calibri" w:hAnsi="Segoe UI" w:cs="Segoe UI"/>
        </w:rPr>
        <w:t xml:space="preserve">Describe the four methods of cell communication and explain the major differences between the general signaling pathways of an intracellular receptor and an extracellular receptor. </w:t>
      </w:r>
    </w:p>
    <w:p w:rsidR="006D523F" w:rsidRPr="00924913" w:rsidRDefault="006D523F">
      <w:pPr>
        <w:spacing w:before="240" w:after="0" w:line="276" w:lineRule="auto"/>
        <w:rPr>
          <w:rFonts w:ascii="Segoe UI" w:eastAsia="Calibri" w:hAnsi="Segoe UI" w:cs="Segoe UI"/>
        </w:rPr>
      </w:pPr>
    </w:p>
    <w:p w:rsidR="006D523F" w:rsidRPr="00924913" w:rsidRDefault="00D974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 xml:space="preserve">Compare and contrast the </w:t>
      </w:r>
      <w:r w:rsidR="00C87EE4">
        <w:rPr>
          <w:rFonts w:ascii="Segoe UI" w:eastAsia="Calibri" w:hAnsi="Segoe UI" w:cs="Segoe UI"/>
          <w:color w:val="000000"/>
        </w:rPr>
        <w:t xml:space="preserve">four </w:t>
      </w:r>
      <w:r w:rsidRPr="00924913">
        <w:rPr>
          <w:rFonts w:ascii="Segoe UI" w:eastAsia="Calibri" w:hAnsi="Segoe UI" w:cs="Segoe UI"/>
          <w:color w:val="000000"/>
        </w:rPr>
        <w:t xml:space="preserve">types of cell communication (paracrine, endocrine, autocrine, and contact-dependent) in the chart below. </w:t>
      </w:r>
    </w:p>
    <w:p w:rsidR="006D523F" w:rsidRPr="00924913" w:rsidRDefault="006D52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Segoe UI" w:eastAsia="Calibri" w:hAnsi="Segoe UI" w:cs="Segoe UI"/>
        </w:rPr>
      </w:pPr>
    </w:p>
    <w:tbl>
      <w:tblPr>
        <w:tblStyle w:val="a"/>
        <w:tblW w:w="9225" w:type="dxa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2455"/>
        <w:gridCol w:w="1295"/>
        <w:gridCol w:w="1665"/>
        <w:gridCol w:w="3810"/>
      </w:tblGrid>
      <w:tr w:rsidR="006D523F" w:rsidRPr="00924913" w:rsidTr="00807B61">
        <w:tc>
          <w:tcPr>
            <w:tcW w:w="2455" w:type="dxa"/>
          </w:tcPr>
          <w:p w:rsidR="006D523F" w:rsidRPr="00924913" w:rsidRDefault="00D9743A">
            <w:pPr>
              <w:rPr>
                <w:rFonts w:ascii="Segoe UI" w:eastAsia="Calibri" w:hAnsi="Segoe UI" w:cs="Segoe UI"/>
                <w:b/>
              </w:rPr>
            </w:pPr>
            <w:r w:rsidRPr="00924913">
              <w:rPr>
                <w:rFonts w:ascii="Segoe UI" w:eastAsia="Calibri" w:hAnsi="Segoe UI" w:cs="Segoe UI"/>
                <w:b/>
              </w:rPr>
              <w:t>Type of Intercellular Signaling</w:t>
            </w:r>
          </w:p>
        </w:tc>
        <w:tc>
          <w:tcPr>
            <w:tcW w:w="1295" w:type="dxa"/>
          </w:tcPr>
          <w:p w:rsidR="006D523F" w:rsidRPr="00924913" w:rsidRDefault="00D9743A">
            <w:pPr>
              <w:rPr>
                <w:rFonts w:ascii="Segoe UI" w:eastAsia="Calibri" w:hAnsi="Segoe UI" w:cs="Segoe UI"/>
                <w:b/>
              </w:rPr>
            </w:pPr>
            <w:r w:rsidRPr="00924913">
              <w:rPr>
                <w:rFonts w:ascii="Segoe UI" w:eastAsia="Calibri" w:hAnsi="Segoe UI" w:cs="Segoe UI"/>
                <w:b/>
              </w:rPr>
              <w:t>Is the signaling molecule soluble (Y/N)?</w:t>
            </w:r>
          </w:p>
        </w:tc>
        <w:tc>
          <w:tcPr>
            <w:tcW w:w="1665" w:type="dxa"/>
          </w:tcPr>
          <w:p w:rsidR="006D523F" w:rsidRPr="00924913" w:rsidRDefault="00D9743A">
            <w:pPr>
              <w:rPr>
                <w:rFonts w:ascii="Segoe UI" w:eastAsia="Calibri" w:hAnsi="Segoe UI" w:cs="Segoe UI"/>
                <w:b/>
              </w:rPr>
            </w:pPr>
            <w:r w:rsidRPr="00924913">
              <w:rPr>
                <w:rFonts w:ascii="Segoe UI" w:eastAsia="Calibri" w:hAnsi="Segoe UI" w:cs="Segoe UI"/>
                <w:b/>
              </w:rPr>
              <w:t xml:space="preserve">Does a separate cell secrete the ligand (Y/N)? </w:t>
            </w:r>
          </w:p>
        </w:tc>
        <w:tc>
          <w:tcPr>
            <w:tcW w:w="3810" w:type="dxa"/>
          </w:tcPr>
          <w:p w:rsidR="006D523F" w:rsidRPr="00924913" w:rsidRDefault="00D9743A">
            <w:pPr>
              <w:rPr>
                <w:rFonts w:ascii="Segoe UI" w:eastAsia="Calibri" w:hAnsi="Segoe UI" w:cs="Segoe UI"/>
                <w:b/>
              </w:rPr>
            </w:pPr>
            <w:r w:rsidRPr="00924913">
              <w:rPr>
                <w:rFonts w:ascii="Segoe UI" w:eastAsia="Calibri" w:hAnsi="Segoe UI" w:cs="Segoe UI"/>
                <w:b/>
              </w:rPr>
              <w:t>Describe the distance that the ligand needs to travel to reach its target.</w:t>
            </w:r>
          </w:p>
        </w:tc>
      </w:tr>
      <w:tr w:rsidR="006D523F" w:rsidRPr="00924913" w:rsidTr="00807B61">
        <w:tc>
          <w:tcPr>
            <w:tcW w:w="2455" w:type="dxa"/>
          </w:tcPr>
          <w:p w:rsidR="006D523F" w:rsidRPr="00924913" w:rsidRDefault="00D9743A">
            <w:pPr>
              <w:spacing w:line="480" w:lineRule="auto"/>
              <w:rPr>
                <w:rFonts w:ascii="Segoe UI" w:eastAsia="Calibri" w:hAnsi="Segoe UI" w:cs="Segoe UI"/>
              </w:rPr>
            </w:pPr>
            <w:r w:rsidRPr="00924913">
              <w:rPr>
                <w:rFonts w:ascii="Segoe UI" w:eastAsia="Calibri" w:hAnsi="Segoe UI" w:cs="Segoe UI"/>
              </w:rPr>
              <w:t>Autocrine</w:t>
            </w:r>
          </w:p>
        </w:tc>
        <w:tc>
          <w:tcPr>
            <w:tcW w:w="129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166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3810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</w:tr>
      <w:tr w:rsidR="006D523F" w:rsidRPr="00924913" w:rsidTr="00807B61">
        <w:trPr>
          <w:trHeight w:val="759"/>
        </w:trPr>
        <w:tc>
          <w:tcPr>
            <w:tcW w:w="2455" w:type="dxa"/>
          </w:tcPr>
          <w:p w:rsidR="006D523F" w:rsidRPr="00924913" w:rsidRDefault="00D9743A">
            <w:pPr>
              <w:spacing w:line="480" w:lineRule="auto"/>
              <w:rPr>
                <w:rFonts w:ascii="Segoe UI" w:eastAsia="Calibri" w:hAnsi="Segoe UI" w:cs="Segoe UI"/>
              </w:rPr>
            </w:pPr>
            <w:r w:rsidRPr="00924913">
              <w:rPr>
                <w:rFonts w:ascii="Segoe UI" w:eastAsia="Calibri" w:hAnsi="Segoe UI" w:cs="Segoe UI"/>
              </w:rPr>
              <w:t>Paracrine</w:t>
            </w:r>
          </w:p>
        </w:tc>
        <w:tc>
          <w:tcPr>
            <w:tcW w:w="129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166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3810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</w:tr>
      <w:tr w:rsidR="006D523F" w:rsidRPr="00924913" w:rsidTr="00807B61">
        <w:tc>
          <w:tcPr>
            <w:tcW w:w="2455" w:type="dxa"/>
          </w:tcPr>
          <w:p w:rsidR="006D523F" w:rsidRPr="00924913" w:rsidRDefault="00D9743A">
            <w:pPr>
              <w:spacing w:line="480" w:lineRule="auto"/>
              <w:rPr>
                <w:rFonts w:ascii="Segoe UI" w:eastAsia="Calibri" w:hAnsi="Segoe UI" w:cs="Segoe UI"/>
              </w:rPr>
            </w:pPr>
            <w:r w:rsidRPr="00924913">
              <w:rPr>
                <w:rFonts w:ascii="Segoe UI" w:eastAsia="Calibri" w:hAnsi="Segoe UI" w:cs="Segoe UI"/>
              </w:rPr>
              <w:t>Contact Dependent</w:t>
            </w:r>
          </w:p>
        </w:tc>
        <w:tc>
          <w:tcPr>
            <w:tcW w:w="129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166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3810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</w:tr>
      <w:tr w:rsidR="006D523F" w:rsidRPr="00924913" w:rsidTr="00807B61">
        <w:trPr>
          <w:trHeight w:val="654"/>
        </w:trPr>
        <w:tc>
          <w:tcPr>
            <w:tcW w:w="2455" w:type="dxa"/>
          </w:tcPr>
          <w:p w:rsidR="006D523F" w:rsidRPr="00924913" w:rsidRDefault="00D9743A">
            <w:pPr>
              <w:spacing w:line="480" w:lineRule="auto"/>
              <w:rPr>
                <w:rFonts w:ascii="Segoe UI" w:eastAsia="Calibri" w:hAnsi="Segoe UI" w:cs="Segoe UI"/>
              </w:rPr>
            </w:pPr>
            <w:r w:rsidRPr="00924913">
              <w:rPr>
                <w:rFonts w:ascii="Segoe UI" w:eastAsia="Calibri" w:hAnsi="Segoe UI" w:cs="Segoe UI"/>
              </w:rPr>
              <w:t>Endocrine</w:t>
            </w:r>
          </w:p>
        </w:tc>
        <w:tc>
          <w:tcPr>
            <w:tcW w:w="129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1665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  <w:tc>
          <w:tcPr>
            <w:tcW w:w="3810" w:type="dxa"/>
          </w:tcPr>
          <w:p w:rsidR="006D523F" w:rsidRPr="00924913" w:rsidRDefault="006D523F">
            <w:pPr>
              <w:spacing w:line="480" w:lineRule="auto"/>
              <w:rPr>
                <w:rFonts w:ascii="Segoe UI" w:eastAsia="Calibri" w:hAnsi="Segoe UI" w:cs="Segoe UI"/>
              </w:rPr>
            </w:pPr>
          </w:p>
        </w:tc>
      </w:tr>
    </w:tbl>
    <w:p w:rsidR="006D523F" w:rsidRPr="00924913" w:rsidRDefault="006D523F">
      <w:pPr>
        <w:rPr>
          <w:rFonts w:ascii="Segoe UI" w:eastAsia="Calibri" w:hAnsi="Segoe UI" w:cs="Segoe UI"/>
        </w:rPr>
      </w:pPr>
    </w:p>
    <w:p w:rsidR="006D523F" w:rsidRPr="00924913" w:rsidRDefault="00D974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>The following sentences are false, correct them to make them true (Highlight or underline your changes):</w:t>
      </w:r>
    </w:p>
    <w:p w:rsidR="006D523F" w:rsidRPr="00924913" w:rsidRDefault="006D52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Segoe UI" w:eastAsia="Calibri" w:hAnsi="Segoe UI" w:cs="Segoe UI"/>
        </w:rPr>
      </w:pPr>
    </w:p>
    <w:p w:rsidR="006D523F" w:rsidRPr="00924913" w:rsidRDefault="00D974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>Ligands that bind extracellular receptors can diffuse across the</w:t>
      </w:r>
      <w:r w:rsidR="00C87EE4">
        <w:rPr>
          <w:rFonts w:ascii="Segoe UI" w:eastAsia="Calibri" w:hAnsi="Segoe UI" w:cs="Segoe UI"/>
          <w:color w:val="000000"/>
        </w:rPr>
        <w:t xml:space="preserve"> plasma</w:t>
      </w:r>
      <w:r w:rsidRPr="00924913">
        <w:rPr>
          <w:rFonts w:ascii="Segoe UI" w:eastAsia="Calibri" w:hAnsi="Segoe UI" w:cs="Segoe UI"/>
          <w:color w:val="000000"/>
        </w:rPr>
        <w:t xml:space="preserve"> membrane</w:t>
      </w:r>
      <w:r w:rsidR="00C87EE4">
        <w:rPr>
          <w:rFonts w:ascii="Segoe UI" w:eastAsia="Calibri" w:hAnsi="Segoe UI" w:cs="Segoe UI"/>
          <w:color w:val="000000"/>
        </w:rPr>
        <w:t>.</w:t>
      </w:r>
    </w:p>
    <w:p w:rsidR="006D523F" w:rsidRPr="00924913" w:rsidRDefault="006D523F">
      <w:pPr>
        <w:ind w:left="1260" w:hanging="360"/>
        <w:rPr>
          <w:rFonts w:ascii="Segoe UI" w:eastAsia="Calibri" w:hAnsi="Segoe UI" w:cs="Segoe UI"/>
        </w:rPr>
      </w:pPr>
    </w:p>
    <w:p w:rsidR="006D523F" w:rsidRPr="00924913" w:rsidRDefault="006D523F">
      <w:pPr>
        <w:ind w:left="1260" w:hanging="360"/>
        <w:rPr>
          <w:rFonts w:ascii="Segoe UI" w:eastAsia="Calibri" w:hAnsi="Segoe UI" w:cs="Segoe UI"/>
        </w:rPr>
      </w:pPr>
    </w:p>
    <w:p w:rsidR="006D523F" w:rsidRPr="00924913" w:rsidRDefault="00D974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>“</w:t>
      </w:r>
      <w:r w:rsidR="00C87EE4">
        <w:rPr>
          <w:rFonts w:ascii="Segoe UI" w:eastAsia="Calibri" w:hAnsi="Segoe UI" w:cs="Segoe UI"/>
          <w:color w:val="000000"/>
        </w:rPr>
        <w:t>F</w:t>
      </w:r>
      <w:r w:rsidRPr="00924913">
        <w:rPr>
          <w:rFonts w:ascii="Segoe UI" w:eastAsia="Calibri" w:hAnsi="Segoe UI" w:cs="Segoe UI"/>
          <w:color w:val="000000"/>
        </w:rPr>
        <w:t>ast” changes</w:t>
      </w:r>
      <w:r w:rsidR="00C87EE4">
        <w:rPr>
          <w:rFonts w:ascii="Segoe UI" w:eastAsia="Calibri" w:hAnsi="Segoe UI" w:cs="Segoe UI"/>
          <w:color w:val="000000"/>
        </w:rPr>
        <w:t xml:space="preserve"> due to molecular switches</w:t>
      </w:r>
      <w:r w:rsidRPr="00924913">
        <w:rPr>
          <w:rFonts w:ascii="Segoe UI" w:eastAsia="Calibri" w:hAnsi="Segoe UI" w:cs="Segoe UI"/>
          <w:color w:val="000000"/>
        </w:rPr>
        <w:t xml:space="preserve"> include gene expression changes.</w:t>
      </w:r>
    </w:p>
    <w:p w:rsidR="006D523F" w:rsidRPr="00924913" w:rsidRDefault="006D523F">
      <w:pPr>
        <w:ind w:left="1260" w:hanging="360"/>
        <w:rPr>
          <w:rFonts w:ascii="Segoe UI" w:eastAsia="Calibri" w:hAnsi="Segoe UI" w:cs="Segoe UI"/>
        </w:rPr>
      </w:pPr>
    </w:p>
    <w:p w:rsidR="006D523F" w:rsidRPr="00924913" w:rsidRDefault="006D523F">
      <w:pPr>
        <w:ind w:left="1260" w:hanging="360"/>
        <w:rPr>
          <w:rFonts w:ascii="Segoe UI" w:eastAsia="Calibri" w:hAnsi="Segoe UI" w:cs="Segoe UI"/>
        </w:rPr>
      </w:pPr>
    </w:p>
    <w:p w:rsidR="00807B61" w:rsidRDefault="00C87EE4" w:rsidP="00807B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>Ligands that bind extracellular receptors are small and hydrophobic.</w:t>
      </w:r>
    </w:p>
    <w:p w:rsidR="00C87EE4" w:rsidRPr="00924913" w:rsidRDefault="00807B61" w:rsidP="00807B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 xml:space="preserve"> </w:t>
      </w:r>
    </w:p>
    <w:p w:rsidR="006D523F" w:rsidRPr="00924913" w:rsidRDefault="00D974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>Phosphatases phosphorylate proteins.</w:t>
      </w:r>
    </w:p>
    <w:p w:rsidR="006D523F" w:rsidRPr="00924913" w:rsidRDefault="006D523F">
      <w:pPr>
        <w:ind w:left="1260" w:hanging="360"/>
        <w:rPr>
          <w:rFonts w:ascii="Segoe UI" w:eastAsia="Calibri" w:hAnsi="Segoe UI" w:cs="Segoe UI"/>
        </w:rPr>
      </w:pPr>
    </w:p>
    <w:p w:rsidR="006D523F" w:rsidRPr="00924913" w:rsidRDefault="006D523F">
      <w:pPr>
        <w:ind w:left="1260" w:hanging="360"/>
        <w:rPr>
          <w:rFonts w:ascii="Segoe UI" w:eastAsia="Calibri" w:hAnsi="Segoe UI" w:cs="Segoe UI"/>
        </w:rPr>
      </w:pPr>
    </w:p>
    <w:p w:rsidR="00807B61" w:rsidRDefault="00D974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lastRenderedPageBreak/>
        <w:t>GTPases need GDP to be phosphorylated to become active again.</w:t>
      </w:r>
    </w:p>
    <w:p w:rsidR="00807B61" w:rsidRDefault="00807B61" w:rsidP="00807B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bookmarkStart w:id="0" w:name="_GoBack"/>
      <w:bookmarkEnd w:id="0"/>
    </w:p>
    <w:p w:rsidR="006D523F" w:rsidRPr="00924913" w:rsidRDefault="00D974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>Kinases dephosphorylate proteins.</w:t>
      </w:r>
    </w:p>
    <w:p w:rsidR="006D523F" w:rsidRPr="00924913" w:rsidRDefault="006D523F">
      <w:pPr>
        <w:ind w:left="1260" w:hanging="360"/>
        <w:rPr>
          <w:rFonts w:ascii="Segoe UI" w:eastAsia="Calibri" w:hAnsi="Segoe UI" w:cs="Segoe UI"/>
        </w:rPr>
      </w:pPr>
    </w:p>
    <w:p w:rsidR="006D523F" w:rsidRPr="00924913" w:rsidRDefault="006D523F" w:rsidP="00C87E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 w:hanging="360"/>
        <w:rPr>
          <w:rFonts w:ascii="Segoe UI" w:eastAsia="Calibri" w:hAnsi="Segoe UI" w:cs="Segoe UI"/>
          <w:color w:val="000000"/>
        </w:rPr>
      </w:pPr>
    </w:p>
    <w:p w:rsidR="006D523F" w:rsidRPr="00924913" w:rsidRDefault="00D9743A" w:rsidP="00C87E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/>
        <w:rPr>
          <w:rFonts w:ascii="Segoe UI" w:eastAsia="Calibri" w:hAnsi="Segoe UI" w:cs="Segoe UI"/>
          <w:color w:val="000000"/>
        </w:rPr>
      </w:pPr>
      <w:r w:rsidRPr="00924913">
        <w:rPr>
          <w:rFonts w:ascii="Segoe UI" w:eastAsia="Calibri" w:hAnsi="Segoe UI" w:cs="Segoe UI"/>
          <w:color w:val="000000"/>
        </w:rPr>
        <w:t>Ligands that bind intracellular receptors are large and/or polar.</w:t>
      </w:r>
    </w:p>
    <w:p w:rsidR="006D523F" w:rsidRPr="00924913" w:rsidRDefault="006D523F" w:rsidP="00C87E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 w:hanging="360"/>
        <w:rPr>
          <w:rFonts w:ascii="Segoe UI" w:eastAsia="Calibri" w:hAnsi="Segoe UI" w:cs="Segoe UI"/>
          <w:color w:val="000000"/>
        </w:rPr>
      </w:pPr>
      <w:bookmarkStart w:id="1" w:name="_heading=h.gjdgxs" w:colFirst="0" w:colLast="0"/>
      <w:bookmarkEnd w:id="1"/>
    </w:p>
    <w:p w:rsidR="006D523F" w:rsidRPr="00924913" w:rsidRDefault="006D523F" w:rsidP="00C87E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 w:hanging="360"/>
        <w:rPr>
          <w:rFonts w:ascii="Segoe UI" w:eastAsia="Calibri" w:hAnsi="Segoe UI" w:cs="Segoe UI"/>
          <w:color w:val="000000"/>
        </w:rPr>
      </w:pPr>
    </w:p>
    <w:sectPr w:rsidR="006D523F" w:rsidRPr="00924913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284AE3"/>
    <w:multiLevelType w:val="multilevel"/>
    <w:tmpl w:val="62EC6D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D05D7A"/>
    <w:multiLevelType w:val="hybridMultilevel"/>
    <w:tmpl w:val="6BEA7D30"/>
    <w:lvl w:ilvl="0" w:tplc="A9B052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E3FBE"/>
    <w:multiLevelType w:val="multilevel"/>
    <w:tmpl w:val="29DA059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23F"/>
    <w:rsid w:val="006D523F"/>
    <w:rsid w:val="00807B61"/>
    <w:rsid w:val="00924913"/>
    <w:rsid w:val="00C87EE4"/>
    <w:rsid w:val="00D9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089C5"/>
  <w15:docId w15:val="{ADD88D9B-8120-4D3D-BDAF-E335FA98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Garamond" w:hAnsi="Garamond" w:cs="Garamond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QB-MultipleChoice">
    <w:name w:val="QB - Multiple Choice"/>
    <w:basedOn w:val="Normal"/>
    <w:qFormat/>
    <w:rsid w:val="00B07AFB"/>
    <w:pPr>
      <w:spacing w:after="0" w:line="240" w:lineRule="auto"/>
      <w:ind w:left="1440" w:hanging="720"/>
    </w:pPr>
    <w:rPr>
      <w:rFonts w:ascii="Times New Roman" w:eastAsiaTheme="minorEastAsia" w:hAnsi="Times New Roman" w:cs="Times New Roman"/>
      <w:lang w:eastAsia="ja-JP"/>
    </w:rPr>
  </w:style>
  <w:style w:type="paragraph" w:styleId="ListParagraph">
    <w:name w:val="List Paragraph"/>
    <w:basedOn w:val="Normal"/>
    <w:uiPriority w:val="34"/>
    <w:qFormat/>
    <w:rsid w:val="00B07AFB"/>
    <w:pPr>
      <w:spacing w:after="0" w:line="240" w:lineRule="auto"/>
      <w:ind w:left="720"/>
      <w:contextualSpacing/>
    </w:pPr>
    <w:rPr>
      <w:rFonts w:ascii="Times New Roman" w:eastAsia="Times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B07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AFB"/>
  </w:style>
  <w:style w:type="paragraph" w:styleId="Footer">
    <w:name w:val="footer"/>
    <w:basedOn w:val="Normal"/>
    <w:link w:val="FooterChar"/>
    <w:uiPriority w:val="99"/>
    <w:unhideWhenUsed/>
    <w:rsid w:val="00B07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AFB"/>
  </w:style>
  <w:style w:type="table" w:styleId="TableGrid">
    <w:name w:val="Table Grid"/>
    <w:basedOn w:val="TableNormal"/>
    <w:uiPriority w:val="39"/>
    <w:rsid w:val="004C6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APU+//y8xRTeT/qaYcYXxrV+Cw==">AMUW2mW4gLRdIJ5JYhfKt2WGmlW43v9UZ5Pm01sihpkLzzUb7K8DvJm2q5cZ8ArRj88BOuruVamdeqMWsIoVWBP9jTN2TnJrJ0tDXVEzkrvwsvIiy6pKABzeYCWnnRWpIr5tPrmo5m6C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Jennell Talley</dc:creator>
  <cp:lastModifiedBy>Shoshana Katzman</cp:lastModifiedBy>
  <cp:revision>2</cp:revision>
  <dcterms:created xsi:type="dcterms:W3CDTF">2022-07-16T11:33:00Z</dcterms:created>
  <dcterms:modified xsi:type="dcterms:W3CDTF">2022-07-16T11:33:00Z</dcterms:modified>
</cp:coreProperties>
</file>